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07738F0" w:rsidR="007D3511" w:rsidRDefault="00A5258B" w:rsidP="00140A9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PROSECUTION </w:t>
      </w:r>
      <w:r w:rsidR="00981691">
        <w:rPr>
          <w:rFonts w:asciiTheme="minorHAnsi" w:hAnsiTheme="minorHAnsi" w:cs="Calibri"/>
          <w:b/>
          <w:bCs/>
          <w:sz w:val="28"/>
        </w:rPr>
        <w:t>RESPONSE TO DEFENCE CASE STATEMENT OF</w:t>
      </w:r>
      <w:r>
        <w:rPr>
          <w:rFonts w:asciiTheme="minorHAnsi" w:hAnsiTheme="minorHAnsi" w:cs="Calibri"/>
          <w:b/>
          <w:bCs/>
          <w:sz w:val="28"/>
        </w:rPr>
        <w:t xml:space="preserve"> DEFENDANT [</w:t>
      </w:r>
      <w:r>
        <w:rPr>
          <w:rFonts w:asciiTheme="minorHAnsi" w:hAnsiTheme="minorHAnsi" w:cs="Calibri"/>
          <w:b/>
          <w:bCs/>
          <w:i/>
          <w:sz w:val="28"/>
        </w:rPr>
        <w:t>NUMBER</w:t>
      </w:r>
      <w:r>
        <w:rPr>
          <w:rFonts w:asciiTheme="minorHAnsi" w:hAnsiTheme="minorHAnsi" w:cs="Calibri"/>
          <w:b/>
          <w:bCs/>
          <w:sz w:val="28"/>
        </w:rPr>
        <w:t>] [</w:t>
      </w:r>
      <w:r>
        <w:rPr>
          <w:rFonts w:asciiTheme="minorHAnsi" w:hAnsiTheme="minorHAnsi" w:cs="Calibri"/>
          <w:b/>
          <w:bCs/>
          <w:i/>
          <w:sz w:val="28"/>
        </w:rPr>
        <w:t>NAME</w:t>
      </w:r>
      <w:r>
        <w:rPr>
          <w:rFonts w:asciiTheme="minorHAnsi" w:hAnsiTheme="minorHAnsi" w:cs="Calibri"/>
          <w:b/>
          <w:bCs/>
          <w:sz w:val="28"/>
        </w:rPr>
        <w:t>]</w:t>
      </w:r>
    </w:p>
    <w:p w14:paraId="00E30FD6" w14:textId="3098D3DF" w:rsidR="00140A92" w:rsidRPr="00E7310D" w:rsidRDefault="00140A92" w:rsidP="00140A9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E7310D">
        <w:rPr>
          <w:rFonts w:asciiTheme="minorHAnsi" w:hAnsiTheme="minorHAnsi" w:cs="Calibri"/>
          <w:b/>
          <w:bCs/>
        </w:rPr>
        <w:t xml:space="preserve">Criminal Procedure Act </w:t>
      </w:r>
      <w:r>
        <w:rPr>
          <w:rFonts w:asciiTheme="minorHAnsi" w:hAnsiTheme="minorHAnsi" w:cs="Calibri"/>
          <w:b/>
          <w:bCs/>
        </w:rPr>
        <w:t xml:space="preserve">1921 </w:t>
      </w:r>
      <w:r w:rsidR="00081EDE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123(9)</w:t>
      </w:r>
    </w:p>
    <w:p w14:paraId="6DC42FB6" w14:textId="77777777" w:rsidR="00217822" w:rsidRPr="008B64CB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C0BBB52" w:rsidR="00DC7ECD" w:rsidRPr="00490AD4" w:rsidRDefault="00A5258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Pr="00A5258B">
        <w:rPr>
          <w:rFonts w:cs="Arial"/>
          <w:i/>
          <w:iCs/>
        </w:rPr>
        <w:t>SUPREME/DISTRICT</w:t>
      </w:r>
      <w:r>
        <w:rPr>
          <w:rFonts w:cs="Arial"/>
          <w:iCs/>
        </w:rPr>
        <w:t xml:space="preserve">] </w:t>
      </w:r>
      <w:r w:rsidR="0069191B">
        <w:rPr>
          <w:rFonts w:cs="Arial"/>
          <w:b/>
          <w:iCs/>
          <w:sz w:val="12"/>
          <w:szCs w:val="12"/>
        </w:rPr>
        <w:t>Select</w:t>
      </w:r>
      <w:r w:rsidR="0069191B" w:rsidRPr="00A5258B">
        <w:rPr>
          <w:rFonts w:cs="Arial"/>
          <w:b/>
          <w:iCs/>
          <w:sz w:val="12"/>
          <w:szCs w:val="12"/>
        </w:rPr>
        <w:t xml:space="preserve"> </w:t>
      </w:r>
      <w:r w:rsidRPr="00A5258B">
        <w:rPr>
          <w:rFonts w:cs="Arial"/>
          <w:b/>
          <w:iCs/>
          <w:sz w:val="12"/>
          <w:szCs w:val="12"/>
        </w:rPr>
        <w:t>one</w:t>
      </w:r>
      <w:r>
        <w:rPr>
          <w:rFonts w:cs="Arial"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7E3D0E4E" w14:textId="3FF8D177" w:rsidR="008B64CB" w:rsidRPr="00490AD4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63C529C8" w14:textId="09046380" w:rsidR="0079103A" w:rsidRPr="00394869" w:rsidRDefault="00A5258B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394869">
        <w:rPr>
          <w:rFonts w:cs="Arial"/>
          <w:b/>
        </w:rPr>
        <w:t>R</w:t>
      </w:r>
    </w:p>
    <w:p w14:paraId="114C7705" w14:textId="722C7B82" w:rsidR="006250A1" w:rsidRPr="00394869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394869">
        <w:rPr>
          <w:rFonts w:cs="Arial"/>
          <w:b/>
        </w:rPr>
        <w:t>v</w:t>
      </w:r>
    </w:p>
    <w:p w14:paraId="0DE99CB8" w14:textId="291E0871" w:rsidR="00A648B8" w:rsidRPr="00394869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94869">
        <w:rPr>
          <w:rFonts w:cs="Arial"/>
          <w:b/>
        </w:rPr>
        <w:t>[</w:t>
      </w:r>
      <w:r w:rsidR="00704217" w:rsidRPr="00394869">
        <w:rPr>
          <w:rFonts w:cs="Arial"/>
          <w:b/>
          <w:i/>
        </w:rPr>
        <w:t xml:space="preserve">FULL </w:t>
      </w:r>
      <w:r w:rsidRPr="00394869">
        <w:rPr>
          <w:rFonts w:cs="Arial"/>
          <w:b/>
          <w:i/>
          <w:iCs/>
        </w:rPr>
        <w:t>NAME</w:t>
      </w:r>
      <w:r w:rsidRPr="00394869">
        <w:rPr>
          <w:rFonts w:cs="Arial"/>
          <w:b/>
        </w:rPr>
        <w:t>]</w:t>
      </w:r>
    </w:p>
    <w:p w14:paraId="4310E8FC" w14:textId="68F63869" w:rsidR="00C672E4" w:rsidRPr="00394869" w:rsidRDefault="006250A1" w:rsidP="00C672E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394869">
        <w:rPr>
          <w:rFonts w:cs="Arial"/>
          <w:b/>
        </w:rPr>
        <w:t>Defendant</w:t>
      </w:r>
    </w:p>
    <w:tbl>
      <w:tblPr>
        <w:tblStyle w:val="TableGrid1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3917"/>
        <w:gridCol w:w="3955"/>
      </w:tblGrid>
      <w:tr w:rsidR="0067760B" w:rsidRPr="005C139F" w14:paraId="69C9D193" w14:textId="39F53604" w:rsidTr="0067760B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32D2CF47" w14:textId="77777777" w:rsidR="0067760B" w:rsidRPr="00E06BDC" w:rsidRDefault="0067760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06BDC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16" w:type="dxa"/>
            <w:tcBorders>
              <w:bottom w:val="nil"/>
            </w:tcBorders>
          </w:tcPr>
          <w:p w14:paraId="5C66AB63" w14:textId="77777777" w:rsidR="0067760B" w:rsidRPr="005C139F" w:rsidRDefault="0067760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</w:rPr>
              <w:t>[Commonwealth] Director of Public Prosecutions</w:t>
            </w:r>
          </w:p>
        </w:tc>
        <w:tc>
          <w:tcPr>
            <w:tcW w:w="3956" w:type="dxa"/>
            <w:tcBorders>
              <w:bottom w:val="nil"/>
            </w:tcBorders>
          </w:tcPr>
          <w:p w14:paraId="0F25F7E5" w14:textId="77777777" w:rsidR="0067760B" w:rsidRPr="005C139F" w:rsidRDefault="0067760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67760B" w:rsidRPr="005C139F" w14:paraId="2680CD47" w14:textId="44DC7228" w:rsidTr="0067760B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7E79E1B8" w14:textId="77777777" w:rsidR="0067760B" w:rsidRPr="00F660FD" w:rsidRDefault="0067760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18" w:type="dxa"/>
            <w:tcBorders>
              <w:top w:val="nil"/>
              <w:bottom w:val="single" w:sz="4" w:space="0" w:color="auto"/>
            </w:tcBorders>
          </w:tcPr>
          <w:p w14:paraId="24D55093" w14:textId="2E33B685" w:rsidR="0067760B" w:rsidRPr="005C139F" w:rsidRDefault="0067760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54" w:type="dxa"/>
            <w:tcBorders>
              <w:top w:val="nil"/>
              <w:bottom w:val="single" w:sz="4" w:space="0" w:color="auto"/>
            </w:tcBorders>
          </w:tcPr>
          <w:p w14:paraId="58143435" w14:textId="1B628923" w:rsidR="0067760B" w:rsidRPr="005C139F" w:rsidRDefault="0067760B" w:rsidP="008075C7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5C139F">
              <w:rPr>
                <w:rFonts w:cs="Arial"/>
                <w:b/>
                <w:sz w:val="12"/>
                <w:lang w:val="en-US"/>
              </w:rPr>
              <w:t>Full Name</w:t>
            </w:r>
            <w:r>
              <w:rPr>
                <w:rFonts w:cs="Arial"/>
                <w:b/>
                <w:sz w:val="12"/>
                <w:lang w:val="en-US"/>
              </w:rPr>
              <w:t xml:space="preserve"> of party</w:t>
            </w:r>
          </w:p>
        </w:tc>
      </w:tr>
      <w:tr w:rsidR="0099297B" w:rsidRPr="005C139F" w14:paraId="19D56333" w14:textId="77777777" w:rsidTr="0067760B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364FE746" w14:textId="77777777" w:rsidR="0099297B" w:rsidRPr="005C139F" w:rsidRDefault="0099297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16" w:type="dxa"/>
            <w:tcBorders>
              <w:top w:val="nil"/>
              <w:bottom w:val="nil"/>
            </w:tcBorders>
          </w:tcPr>
          <w:p w14:paraId="32683109" w14:textId="77777777" w:rsidR="0099297B" w:rsidRPr="005C139F" w:rsidRDefault="0099297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</w:rPr>
              <w:t>Office of the [Commonwealth] Director of Public Prosecutions</w:t>
            </w:r>
          </w:p>
        </w:tc>
        <w:tc>
          <w:tcPr>
            <w:tcW w:w="3956" w:type="dxa"/>
            <w:tcBorders>
              <w:top w:val="nil"/>
              <w:bottom w:val="nil"/>
            </w:tcBorders>
          </w:tcPr>
          <w:p w14:paraId="622E007B" w14:textId="77777777" w:rsidR="0099297B" w:rsidRPr="005C139F" w:rsidRDefault="0099297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9297B" w:rsidRPr="005C139F" w14:paraId="230DED76" w14:textId="77777777" w:rsidTr="0067760B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2A4B6050" w14:textId="77777777" w:rsidR="0099297B" w:rsidRPr="005C139F" w:rsidRDefault="0099297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16" w:type="dxa"/>
            <w:tcBorders>
              <w:top w:val="nil"/>
              <w:bottom w:val="single" w:sz="4" w:space="0" w:color="auto"/>
            </w:tcBorders>
          </w:tcPr>
          <w:p w14:paraId="28BAAD2A" w14:textId="77777777" w:rsidR="0099297B" w:rsidRPr="005C139F" w:rsidRDefault="0099297B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56" w:type="dxa"/>
            <w:tcBorders>
              <w:top w:val="nil"/>
              <w:bottom w:val="single" w:sz="4" w:space="0" w:color="auto"/>
            </w:tcBorders>
          </w:tcPr>
          <w:p w14:paraId="1C91DE68" w14:textId="339F7247" w:rsidR="0099297B" w:rsidRPr="005C139F" w:rsidRDefault="008D0D9A" w:rsidP="008075C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</w:rPr>
              <w:t>Responsible</w:t>
            </w: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99297B" w:rsidRPr="005C139F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</w:tbl>
    <w:p w14:paraId="08294899" w14:textId="46CA3C76" w:rsidR="0099297B" w:rsidRDefault="0099297B" w:rsidP="007B484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</w:p>
    <w:p w14:paraId="2B172C4F" w14:textId="77777777" w:rsidR="004A4632" w:rsidRPr="00CE3D2C" w:rsidRDefault="004A4632" w:rsidP="007B484B">
      <w:pPr>
        <w:spacing w:after="120" w:line="276" w:lineRule="auto"/>
        <w:jc w:val="left"/>
        <w:rPr>
          <w:rFonts w:cs="Arial"/>
          <w:b/>
        </w:rPr>
      </w:pPr>
      <w:r w:rsidRPr="00CE3D2C">
        <w:rPr>
          <w:rFonts w:cs="Arial"/>
          <w:b/>
        </w:rPr>
        <w:t>Response to Defence Case Statement</w:t>
      </w:r>
    </w:p>
    <w:p w14:paraId="6200DAA4" w14:textId="77777777" w:rsidR="004A4632" w:rsidRPr="00CE3D2C" w:rsidRDefault="004A4632" w:rsidP="007B484B">
      <w:pPr>
        <w:spacing w:after="120" w:line="276" w:lineRule="auto"/>
        <w:jc w:val="left"/>
        <w:rPr>
          <w:rFonts w:cs="Arial"/>
        </w:rPr>
      </w:pPr>
      <w:r w:rsidRPr="00CE3D2C">
        <w:rPr>
          <w:rFonts w:cs="Arial"/>
        </w:rPr>
        <w:t xml:space="preserve">This statement is provided pursuant to section 123(9) of the </w:t>
      </w:r>
      <w:r w:rsidRPr="00CE3D2C">
        <w:rPr>
          <w:rFonts w:cs="Arial"/>
          <w:i/>
        </w:rPr>
        <w:t>Criminal Procedure Act 1921</w:t>
      </w:r>
      <w:r w:rsidRPr="00CE3D2C">
        <w:rPr>
          <w:rFonts w:cs="Arial"/>
        </w:rPr>
        <w:t>.</w:t>
      </w:r>
    </w:p>
    <w:p w14:paraId="3FA03C1F" w14:textId="2FFBE256" w:rsidR="004A4632" w:rsidRPr="00CE3D2C" w:rsidRDefault="004A4632" w:rsidP="007B484B">
      <w:pPr>
        <w:pStyle w:val="NormalWeb"/>
        <w:numPr>
          <w:ilvl w:val="0"/>
          <w:numId w:val="26"/>
        </w:numPr>
        <w:spacing w:before="240" w:after="120" w:line="276" w:lineRule="auto"/>
        <w:ind w:left="425" w:hanging="425"/>
        <w:rPr>
          <w:rFonts w:ascii="Arial" w:hAnsi="Arial" w:cs="Arial"/>
          <w:b/>
        </w:rPr>
      </w:pPr>
      <w:r w:rsidRPr="00CE3D2C">
        <w:rPr>
          <w:rFonts w:ascii="Arial" w:hAnsi="Arial" w:cs="Arial"/>
          <w:b/>
        </w:rPr>
        <w:t>Expert evidence</w:t>
      </w:r>
    </w:p>
    <w:p w14:paraId="012F43B0" w14:textId="4788995F" w:rsidR="004A4632" w:rsidRPr="00CE3D2C" w:rsidRDefault="004A4632" w:rsidP="007B484B">
      <w:pPr>
        <w:pStyle w:val="NormalWeb"/>
        <w:numPr>
          <w:ilvl w:val="0"/>
          <w:numId w:val="27"/>
        </w:numPr>
        <w:spacing w:before="0" w:after="120" w:line="276" w:lineRule="auto"/>
        <w:rPr>
          <w:rFonts w:ascii="Arial" w:hAnsi="Arial" w:cs="Arial"/>
        </w:rPr>
      </w:pPr>
      <w:r w:rsidRPr="00CE3D2C">
        <w:rPr>
          <w:rFonts w:ascii="Arial" w:hAnsi="Arial" w:cs="Arial"/>
        </w:rPr>
        <w:t>The prosecution intends to challenge the admissibility of the following expert evidence intended to be adduced by the defence:</w:t>
      </w:r>
    </w:p>
    <w:p w14:paraId="0D4462ED" w14:textId="17038BD4" w:rsidR="004A4632" w:rsidRPr="00CE3D2C" w:rsidRDefault="004A4632" w:rsidP="007B484B">
      <w:pPr>
        <w:spacing w:after="120" w:line="276" w:lineRule="auto"/>
        <w:ind w:left="1021"/>
        <w:jc w:val="left"/>
        <w:rPr>
          <w:rFonts w:cs="Arial"/>
          <w:sz w:val="18"/>
          <w:szCs w:val="18"/>
        </w:rPr>
      </w:pPr>
      <w:r w:rsidRPr="00CE3D2C">
        <w:rPr>
          <w:rFonts w:cs="Arial"/>
          <w:szCs w:val="18"/>
        </w:rPr>
        <w:t>[</w:t>
      </w:r>
      <w:r w:rsidR="00F27B95">
        <w:rPr>
          <w:rFonts w:cs="Arial"/>
          <w:i/>
          <w:iCs/>
          <w:szCs w:val="18"/>
        </w:rPr>
        <w:t xml:space="preserve">enter </w:t>
      </w:r>
      <w:r w:rsidRPr="00CE3D2C">
        <w:rPr>
          <w:rFonts w:cs="Arial"/>
          <w:i/>
          <w:szCs w:val="18"/>
        </w:rPr>
        <w:t>expert evidence</w:t>
      </w:r>
      <w:r w:rsidRPr="00CE3D2C">
        <w:rPr>
          <w:rFonts w:cs="Arial"/>
          <w:szCs w:val="18"/>
        </w:rPr>
        <w:t>] [</w:t>
      </w:r>
      <w:r w:rsidR="00F27B95">
        <w:rPr>
          <w:rFonts w:cs="Arial"/>
          <w:i/>
          <w:iCs/>
          <w:szCs w:val="18"/>
        </w:rPr>
        <w:t xml:space="preserve">enter </w:t>
      </w:r>
      <w:r w:rsidRPr="00CE3D2C">
        <w:rPr>
          <w:rFonts w:cs="Arial"/>
          <w:i/>
          <w:szCs w:val="18"/>
        </w:rPr>
        <w:t>ground(s) of challenge</w:t>
      </w:r>
      <w:r w:rsidRPr="00CE3D2C">
        <w:rPr>
          <w:rFonts w:cs="Arial"/>
          <w:szCs w:val="18"/>
        </w:rPr>
        <w:t xml:space="preserve">] </w:t>
      </w:r>
      <w:r w:rsidRPr="00CE3D2C">
        <w:rPr>
          <w:rFonts w:cs="Arial"/>
          <w:b/>
          <w:sz w:val="12"/>
          <w:szCs w:val="18"/>
        </w:rPr>
        <w:t>provide for multiple</w:t>
      </w:r>
    </w:p>
    <w:p w14:paraId="26B10A8A" w14:textId="70E6CF21" w:rsidR="004A4632" w:rsidRPr="00CE3D2C" w:rsidRDefault="004A4632" w:rsidP="007B484B">
      <w:pPr>
        <w:pStyle w:val="NormalWeb"/>
        <w:numPr>
          <w:ilvl w:val="0"/>
          <w:numId w:val="26"/>
        </w:numPr>
        <w:spacing w:before="240" w:after="120" w:line="276" w:lineRule="auto"/>
        <w:ind w:left="425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CE3D2C">
        <w:rPr>
          <w:rFonts w:ascii="Arial" w:hAnsi="Arial" w:cs="Arial"/>
          <w:b/>
        </w:rPr>
        <w:t>libi evidence</w:t>
      </w:r>
    </w:p>
    <w:p w14:paraId="70EE078A" w14:textId="5E70B4DD" w:rsidR="004A4632" w:rsidRPr="00CE3D2C" w:rsidRDefault="004A4632" w:rsidP="007B484B">
      <w:pPr>
        <w:pStyle w:val="NormalWeb"/>
        <w:numPr>
          <w:ilvl w:val="0"/>
          <w:numId w:val="27"/>
        </w:numPr>
        <w:spacing w:before="0" w:after="120" w:line="276" w:lineRule="auto"/>
        <w:rPr>
          <w:rFonts w:ascii="Arial" w:hAnsi="Arial" w:cs="Arial"/>
        </w:rPr>
      </w:pPr>
      <w:r w:rsidRPr="00CE3D2C">
        <w:rPr>
          <w:rFonts w:ascii="Arial" w:hAnsi="Arial" w:cs="Arial"/>
        </w:rPr>
        <w:t>The prosecution intends to challenge the admissibility of the following alibi evidence intended to be adduced by the defence:</w:t>
      </w:r>
    </w:p>
    <w:p w14:paraId="76A4328D" w14:textId="4600BA67" w:rsidR="004A4632" w:rsidRPr="00CE3D2C" w:rsidRDefault="004A4632" w:rsidP="007B484B">
      <w:pPr>
        <w:spacing w:after="120" w:line="276" w:lineRule="auto"/>
        <w:ind w:left="1021"/>
        <w:jc w:val="left"/>
        <w:rPr>
          <w:rFonts w:cs="Arial"/>
          <w:sz w:val="18"/>
          <w:szCs w:val="18"/>
        </w:rPr>
      </w:pPr>
      <w:r w:rsidRPr="00CE3D2C">
        <w:rPr>
          <w:rFonts w:cs="Arial"/>
          <w:szCs w:val="18"/>
        </w:rPr>
        <w:t>[</w:t>
      </w:r>
      <w:r w:rsidR="00F27B95">
        <w:rPr>
          <w:rFonts w:cs="Arial"/>
          <w:i/>
          <w:iCs/>
          <w:szCs w:val="18"/>
        </w:rPr>
        <w:t xml:space="preserve">enter </w:t>
      </w:r>
      <w:r w:rsidRPr="00CE3D2C">
        <w:rPr>
          <w:rFonts w:cs="Arial"/>
          <w:i/>
          <w:szCs w:val="18"/>
        </w:rPr>
        <w:t>alibi evidence</w:t>
      </w:r>
      <w:r w:rsidRPr="00CE3D2C">
        <w:rPr>
          <w:rFonts w:cs="Arial"/>
          <w:szCs w:val="18"/>
        </w:rPr>
        <w:t>] [</w:t>
      </w:r>
      <w:r w:rsidR="00F27B95">
        <w:rPr>
          <w:rFonts w:cs="Arial"/>
          <w:i/>
          <w:iCs/>
          <w:szCs w:val="18"/>
        </w:rPr>
        <w:t xml:space="preserve">enter </w:t>
      </w:r>
      <w:r w:rsidRPr="00CE3D2C">
        <w:rPr>
          <w:rFonts w:cs="Arial"/>
          <w:i/>
          <w:szCs w:val="18"/>
        </w:rPr>
        <w:t>ground(s) of challenge</w:t>
      </w:r>
      <w:r w:rsidRPr="00CE3D2C">
        <w:rPr>
          <w:rFonts w:cs="Arial"/>
          <w:szCs w:val="18"/>
        </w:rPr>
        <w:t xml:space="preserve">] </w:t>
      </w:r>
      <w:r w:rsidRPr="00CE3D2C">
        <w:rPr>
          <w:rFonts w:cs="Arial"/>
          <w:b/>
          <w:sz w:val="12"/>
          <w:szCs w:val="18"/>
        </w:rPr>
        <w:t>provide for multiple</w:t>
      </w:r>
    </w:p>
    <w:p w14:paraId="3463F02D" w14:textId="6F19BAB3" w:rsidR="004A4632" w:rsidRPr="00CE3D2C" w:rsidRDefault="004A4632" w:rsidP="007B484B">
      <w:pPr>
        <w:pStyle w:val="NormalWeb"/>
        <w:numPr>
          <w:ilvl w:val="0"/>
          <w:numId w:val="26"/>
        </w:numPr>
        <w:spacing w:before="240" w:after="120" w:line="276" w:lineRule="auto"/>
        <w:ind w:left="425" w:hanging="425"/>
        <w:rPr>
          <w:rFonts w:ascii="Arial" w:hAnsi="Arial" w:cs="Arial"/>
          <w:b/>
        </w:rPr>
      </w:pPr>
      <w:r w:rsidRPr="00CE3D2C">
        <w:rPr>
          <w:rFonts w:ascii="Arial" w:hAnsi="Arial" w:cs="Arial"/>
          <w:b/>
        </w:rPr>
        <w:t>Other matters</w:t>
      </w:r>
    </w:p>
    <w:p w14:paraId="577E5C1F" w14:textId="6888D12C" w:rsidR="004A4632" w:rsidRDefault="004A4632" w:rsidP="007B484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after="120" w:line="276" w:lineRule="auto"/>
        <w:ind w:left="425"/>
        <w:rPr>
          <w:rFonts w:eastAsia="Calibri" w:cs="Arial"/>
          <w:b/>
          <w:sz w:val="12"/>
        </w:rPr>
      </w:pPr>
      <w:r w:rsidRPr="00CE3D2C">
        <w:rPr>
          <w:rFonts w:cs="Arial"/>
          <w:szCs w:val="18"/>
        </w:rPr>
        <w:t>[</w:t>
      </w:r>
      <w:r w:rsidR="00F27B95">
        <w:rPr>
          <w:rFonts w:cs="Arial"/>
          <w:i/>
          <w:iCs/>
          <w:szCs w:val="18"/>
        </w:rPr>
        <w:t xml:space="preserve">enter </w:t>
      </w:r>
      <w:r w:rsidRPr="00CE3D2C">
        <w:rPr>
          <w:rFonts w:cs="Arial"/>
          <w:i/>
          <w:szCs w:val="18"/>
        </w:rPr>
        <w:t>any other matters disclosed as part of case statement</w:t>
      </w:r>
      <w:r w:rsidRPr="00CE3D2C">
        <w:rPr>
          <w:rFonts w:cs="Arial"/>
          <w:szCs w:val="18"/>
        </w:rPr>
        <w:t>]</w:t>
      </w:r>
    </w:p>
    <w:p w14:paraId="6A6EC340" w14:textId="069030B5" w:rsidR="00D343C9" w:rsidRDefault="00D343C9" w:rsidP="007B484B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81691" w14:paraId="1513824C" w14:textId="77777777" w:rsidTr="007F7CBB">
        <w:tc>
          <w:tcPr>
            <w:tcW w:w="10457" w:type="dxa"/>
          </w:tcPr>
          <w:p w14:paraId="6224461E" w14:textId="585FDEF0" w:rsidR="00981691" w:rsidRPr="00981691" w:rsidRDefault="00981691" w:rsidP="007B484B">
            <w:pPr>
              <w:spacing w:before="120" w:after="240" w:line="276" w:lineRule="auto"/>
              <w:ind w:right="57"/>
              <w:rPr>
                <w:rFonts w:cs="Arial"/>
                <w:color w:val="000000" w:themeColor="text1"/>
              </w:rPr>
            </w:pPr>
            <w:r w:rsidRPr="00981691">
              <w:rPr>
                <w:rFonts w:asciiTheme="majorHAnsi" w:hAnsiTheme="majorHAnsi" w:cstheme="majorHAnsi"/>
                <w:b/>
              </w:rPr>
              <w:t>Service</w:t>
            </w:r>
          </w:p>
          <w:p w14:paraId="24A2D008" w14:textId="77777777" w:rsidR="00981691" w:rsidRPr="00A316BC" w:rsidRDefault="00981691" w:rsidP="007B484B">
            <w:pPr>
              <w:spacing w:after="120" w:line="276" w:lineRule="auto"/>
              <w:ind w:right="57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The party filing this document is</w:t>
            </w:r>
            <w:r w:rsidRPr="00B44280">
              <w:rPr>
                <w:rFonts w:cs="Arial"/>
                <w:color w:val="000000" w:themeColor="text1"/>
              </w:rPr>
              <w:t xml:space="preserve"> required to serve </w:t>
            </w:r>
            <w:r>
              <w:rPr>
                <w:rFonts w:cs="Arial"/>
                <w:color w:val="000000" w:themeColor="text1"/>
              </w:rPr>
              <w:t>it on all other parties in</w:t>
            </w:r>
            <w:r w:rsidRPr="00B44280">
              <w:rPr>
                <w:rFonts w:cs="Arial"/>
                <w:color w:val="000000" w:themeColor="text1"/>
              </w:rPr>
              <w:t xml:space="preserve"> accordance with the Rules</w:t>
            </w:r>
            <w:r>
              <w:rPr>
                <w:rFonts w:cs="Arial"/>
                <w:color w:val="000000" w:themeColor="text1"/>
              </w:rPr>
              <w:t xml:space="preserve"> of Court.</w:t>
            </w:r>
          </w:p>
        </w:tc>
      </w:tr>
    </w:tbl>
    <w:p w14:paraId="745FC5D9" w14:textId="349B5FF9" w:rsidR="00D343C9" w:rsidRPr="00981691" w:rsidRDefault="00D343C9" w:rsidP="00981691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cs="Arial"/>
          <w:color w:val="000000" w:themeColor="text1"/>
        </w:rPr>
      </w:pPr>
    </w:p>
    <w:sectPr w:rsidR="00D343C9" w:rsidRPr="00981691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4FE4" w14:textId="77777777" w:rsidR="003F00AE" w:rsidRDefault="003F0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AC6C" w14:textId="77777777" w:rsidR="003F00AE" w:rsidRDefault="003F0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462E" w14:textId="77777777" w:rsidR="003F00AE" w:rsidRDefault="003F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A43E" w14:textId="77777777" w:rsidR="003F00AE" w:rsidRDefault="003F0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F72180B" w:rsidR="00F42926" w:rsidRDefault="0098169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00B6A">
      <w:rPr>
        <w:lang w:val="en-US"/>
      </w:rPr>
      <w:t>7</w:t>
    </w:r>
    <w:r w:rsidR="003F00AE">
      <w:rPr>
        <w:lang w:val="en-US"/>
      </w:rPr>
      <w:t>4</w:t>
    </w:r>
  </w:p>
  <w:p w14:paraId="1AD316AE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4E6EA70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200B6A">
      <w:rPr>
        <w:lang w:val="en-US"/>
      </w:rPr>
      <w:t>7</w:t>
    </w:r>
    <w:r w:rsidR="003F00AE">
      <w:rPr>
        <w:lang w:val="en-US"/>
      </w:rPr>
      <w:t>4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82D5500"/>
    <w:multiLevelType w:val="hybridMultilevel"/>
    <w:tmpl w:val="5016BF4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3131"/>
    <w:multiLevelType w:val="hybridMultilevel"/>
    <w:tmpl w:val="9B489F3A"/>
    <w:lvl w:ilvl="0" w:tplc="E468E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8A46010"/>
    <w:multiLevelType w:val="hybridMultilevel"/>
    <w:tmpl w:val="F7F62870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4032F2"/>
    <w:multiLevelType w:val="hybridMultilevel"/>
    <w:tmpl w:val="78F6FD80"/>
    <w:lvl w:ilvl="0" w:tplc="D65AF408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80FD1"/>
    <w:multiLevelType w:val="hybridMultilevel"/>
    <w:tmpl w:val="EB70D584"/>
    <w:lvl w:ilvl="0" w:tplc="9B300098">
      <w:start w:val="1"/>
      <w:numFmt w:val="bullet"/>
      <w:lvlText w:val=""/>
      <w:lvlJc w:val="left"/>
      <w:pPr>
        <w:ind w:left="785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BD5134"/>
    <w:multiLevelType w:val="hybridMultilevel"/>
    <w:tmpl w:val="1C3439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04E29"/>
    <w:multiLevelType w:val="hybridMultilevel"/>
    <w:tmpl w:val="9076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20FB5"/>
    <w:multiLevelType w:val="hybridMultilevel"/>
    <w:tmpl w:val="3EC43E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E11A6"/>
    <w:multiLevelType w:val="hybridMultilevel"/>
    <w:tmpl w:val="BFEC56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2"/>
  </w:num>
  <w:num w:numId="8">
    <w:abstractNumId w:val="16"/>
  </w:num>
  <w:num w:numId="9">
    <w:abstractNumId w:val="23"/>
  </w:num>
  <w:num w:numId="10">
    <w:abstractNumId w:val="17"/>
  </w:num>
  <w:num w:numId="11">
    <w:abstractNumId w:val="25"/>
  </w:num>
  <w:num w:numId="12">
    <w:abstractNumId w:val="21"/>
  </w:num>
  <w:num w:numId="13">
    <w:abstractNumId w:val="7"/>
  </w:num>
  <w:num w:numId="14">
    <w:abstractNumId w:val="2"/>
  </w:num>
  <w:num w:numId="15">
    <w:abstractNumId w:val="8"/>
  </w:num>
  <w:num w:numId="16">
    <w:abstractNumId w:val="18"/>
  </w:num>
  <w:num w:numId="17">
    <w:abstractNumId w:val="5"/>
  </w:num>
  <w:num w:numId="18">
    <w:abstractNumId w:val="4"/>
  </w:num>
  <w:num w:numId="19">
    <w:abstractNumId w:val="1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19"/>
  </w:num>
  <w:num w:numId="25">
    <w:abstractNumId w:val="24"/>
  </w:num>
  <w:num w:numId="26">
    <w:abstractNumId w:val="26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1EDE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A92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393B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0B6A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4E4B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0D"/>
    <w:rsid w:val="003933EA"/>
    <w:rsid w:val="0039342D"/>
    <w:rsid w:val="00394869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B94"/>
    <w:rsid w:val="003D6367"/>
    <w:rsid w:val="003D7D1F"/>
    <w:rsid w:val="003D7FCC"/>
    <w:rsid w:val="003E07B1"/>
    <w:rsid w:val="003E1EE5"/>
    <w:rsid w:val="003E355C"/>
    <w:rsid w:val="003E64B8"/>
    <w:rsid w:val="003E7516"/>
    <w:rsid w:val="003F00AE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190D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632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D1C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760B"/>
    <w:rsid w:val="006813E8"/>
    <w:rsid w:val="00684001"/>
    <w:rsid w:val="00684C7E"/>
    <w:rsid w:val="00685B94"/>
    <w:rsid w:val="006865F5"/>
    <w:rsid w:val="00686868"/>
    <w:rsid w:val="00687367"/>
    <w:rsid w:val="0069191B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484B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97E6D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64CB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0D9A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1691"/>
    <w:rsid w:val="00982901"/>
    <w:rsid w:val="0098456D"/>
    <w:rsid w:val="00985B8B"/>
    <w:rsid w:val="0099297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258B"/>
    <w:rsid w:val="00A5547D"/>
    <w:rsid w:val="00A55680"/>
    <w:rsid w:val="00A558CA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B743A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3E2C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4A3A"/>
    <w:rsid w:val="00C659A9"/>
    <w:rsid w:val="00C672E4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317F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D2C"/>
    <w:rsid w:val="00CE46B7"/>
    <w:rsid w:val="00CE5921"/>
    <w:rsid w:val="00CE59D9"/>
    <w:rsid w:val="00CE6DC5"/>
    <w:rsid w:val="00CE713F"/>
    <w:rsid w:val="00CF0B03"/>
    <w:rsid w:val="00CF21E1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3C9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67CCA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9D2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4FD7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27B95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05F"/>
    <w:rsid w:val="00F45F9A"/>
    <w:rsid w:val="00F52E67"/>
    <w:rsid w:val="00F533D0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672E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99297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FC021FE-48CE-4CA3-BB81-3BB249B0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74 Prosecution Response to Defence Case Statement</dc:title>
  <dc:subject/>
  <dc:creator>Courts Administration Authority</dc:creator>
  <cp:keywords>criminal; Forms</cp:keywords>
  <dc:description/>
  <cp:lastModifiedBy/>
  <cp:revision>1</cp:revision>
  <dcterms:created xsi:type="dcterms:W3CDTF">2020-11-15T23:34:00Z</dcterms:created>
  <dcterms:modified xsi:type="dcterms:W3CDTF">2022-08-09T02:38:00Z</dcterms:modified>
</cp:coreProperties>
</file>